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湖南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工艺美术职业学院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大学生创新创业孵化基地入驻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项目汇总表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二级</w:t>
      </w:r>
      <w:r>
        <w:rPr>
          <w:rFonts w:hint="eastAsia" w:ascii="仿宋" w:hAnsi="仿宋" w:eastAsia="仿宋" w:cs="仿宋"/>
          <w:sz w:val="28"/>
          <w:szCs w:val="28"/>
        </w:rPr>
        <w:t>学院名称（公章）：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     填报时间：      年   月   日</w:t>
      </w:r>
    </w:p>
    <w:tbl>
      <w:tblPr>
        <w:tblStyle w:val="4"/>
        <w:tblW w:w="13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938"/>
        <w:gridCol w:w="532"/>
        <w:gridCol w:w="1035"/>
        <w:gridCol w:w="742"/>
        <w:gridCol w:w="1185"/>
        <w:gridCol w:w="943"/>
        <w:gridCol w:w="1083"/>
        <w:gridCol w:w="1185"/>
        <w:gridCol w:w="841"/>
        <w:gridCol w:w="1358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负责人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团队人数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指导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指导教师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电话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指导教师研究方向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r>
        <w:rPr>
          <w:rFonts w:hint="eastAsia" w:ascii="仿宋" w:hAnsi="仿宋" w:eastAsia="仿宋" w:cs="仿宋"/>
        </w:rPr>
        <w:t>注：此表以学院为单位统一填报。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YzRjNzdhZDI3ZGE5MjQ3ODJiMTI5NGI2YTgzMzgifQ=="/>
  </w:docVars>
  <w:rsids>
    <w:rsidRoot w:val="3D74278B"/>
    <w:rsid w:val="21AE6A2E"/>
    <w:rsid w:val="26D47D7C"/>
    <w:rsid w:val="3D74278B"/>
    <w:rsid w:val="7B7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0</TotalTime>
  <ScaleCrop>false</ScaleCrop>
  <LinksUpToDate>false</LinksUpToDate>
  <CharactersWithSpaces>193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2021-05-17T01:32:00Z</dcterms:created>
  <dc:creator>李晚晴</dc:creator>
  <cp:lastModifiedBy>李晚晴</cp:lastModifiedBy>
  <dcterms:modified xsi:type="dcterms:W3CDTF">2022-09-06T02:06:26Z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5C0F3F0315994EA8A3E430EFE5FAC3E2</vt:lpwstr>
  </property>
</Properties>
</file>